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A90" w:rsidRDefault="005C7A90" w:rsidP="00641B64">
      <w:pPr>
        <w:spacing w:after="0" w:line="240" w:lineRule="auto"/>
        <w:jc w:val="center"/>
        <w:rPr>
          <w:rFonts w:ascii="Times New Roman" w:hAnsi="Times New Roman" w:cs="Times New Roman"/>
          <w:sz w:val="24"/>
          <w:szCs w:val="24"/>
        </w:rPr>
      </w:pPr>
    </w:p>
    <w:p w:rsidR="005C7A90" w:rsidRDefault="005C7A90" w:rsidP="00641B64">
      <w:pPr>
        <w:spacing w:after="0" w:line="240" w:lineRule="auto"/>
        <w:jc w:val="center"/>
        <w:rPr>
          <w:rFonts w:ascii="Times New Roman" w:hAnsi="Times New Roman" w:cs="Times New Roman"/>
          <w:sz w:val="24"/>
          <w:szCs w:val="24"/>
        </w:rPr>
      </w:pPr>
    </w:p>
    <w:p w:rsidR="005C7A90" w:rsidRDefault="005C7A90" w:rsidP="00641B64">
      <w:pPr>
        <w:spacing w:after="0" w:line="240" w:lineRule="auto"/>
        <w:jc w:val="center"/>
        <w:rPr>
          <w:rFonts w:ascii="Times New Roman" w:hAnsi="Times New Roman" w:cs="Times New Roman"/>
          <w:sz w:val="24"/>
          <w:szCs w:val="24"/>
        </w:rPr>
      </w:pPr>
    </w:p>
    <w:p w:rsidR="005C7A90" w:rsidRDefault="005C7A90" w:rsidP="00641B64">
      <w:pPr>
        <w:spacing w:after="0" w:line="240" w:lineRule="auto"/>
        <w:jc w:val="center"/>
        <w:rPr>
          <w:rFonts w:ascii="Times New Roman" w:hAnsi="Times New Roman" w:cs="Times New Roman"/>
          <w:sz w:val="24"/>
          <w:szCs w:val="24"/>
        </w:rPr>
      </w:pPr>
    </w:p>
    <w:p w:rsidR="005C7A90" w:rsidRDefault="005C7A90" w:rsidP="00641B64">
      <w:pPr>
        <w:spacing w:after="0" w:line="240" w:lineRule="auto"/>
        <w:jc w:val="center"/>
        <w:rPr>
          <w:rFonts w:ascii="Times New Roman" w:hAnsi="Times New Roman" w:cs="Times New Roman"/>
          <w:sz w:val="24"/>
          <w:szCs w:val="24"/>
        </w:rPr>
      </w:pPr>
    </w:p>
    <w:p w:rsidR="005C7A90" w:rsidRDefault="005C7A90" w:rsidP="00641B64">
      <w:pPr>
        <w:spacing w:after="0" w:line="240" w:lineRule="auto"/>
        <w:jc w:val="center"/>
        <w:rPr>
          <w:rFonts w:ascii="Times New Roman" w:hAnsi="Times New Roman" w:cs="Times New Roman"/>
          <w:sz w:val="24"/>
          <w:szCs w:val="24"/>
        </w:rPr>
      </w:pPr>
    </w:p>
    <w:p w:rsidR="0080412D" w:rsidRDefault="005C7A90" w:rsidP="00641B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Male Circumcision</w:t>
      </w:r>
    </w:p>
    <w:p w:rsidR="005C7A90" w:rsidRDefault="005C7A90" w:rsidP="00641B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7A90" w:rsidRDefault="005C7A90" w:rsidP="00641B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7A90" w:rsidRP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5C7A90" w:rsidRDefault="005C7A90" w:rsidP="00641B64">
      <w:pPr>
        <w:spacing w:after="0" w:line="240" w:lineRule="auto"/>
        <w:rPr>
          <w:rFonts w:ascii="Times New Roman" w:hAnsi="Times New Roman" w:cs="Times New Roman"/>
          <w:sz w:val="24"/>
          <w:szCs w:val="24"/>
        </w:rPr>
      </w:pPr>
    </w:p>
    <w:p w:rsidR="00641B64" w:rsidRDefault="00641B64">
      <w:pPr>
        <w:rPr>
          <w:rFonts w:ascii="Times New Roman" w:hAnsi="Times New Roman" w:cs="Times New Roman"/>
          <w:sz w:val="24"/>
          <w:szCs w:val="24"/>
        </w:rPr>
      </w:pPr>
      <w:r>
        <w:rPr>
          <w:rFonts w:ascii="Times New Roman" w:hAnsi="Times New Roman" w:cs="Times New Roman"/>
          <w:sz w:val="24"/>
          <w:szCs w:val="24"/>
        </w:rPr>
        <w:br w:type="page"/>
      </w:r>
    </w:p>
    <w:p w:rsidR="005C7A90" w:rsidRDefault="005C7A90" w:rsidP="00641B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Male Circumcision</w:t>
      </w:r>
    </w:p>
    <w:p w:rsidR="002A311B" w:rsidRDefault="00742E24" w:rsidP="00641B6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Despite t</w:t>
      </w:r>
      <w:r w:rsidR="00A137DE">
        <w:rPr>
          <w:rFonts w:ascii="Times New Roman" w:hAnsi="Times New Roman" w:cs="Times New Roman"/>
          <w:sz w:val="24"/>
          <w:szCs w:val="24"/>
        </w:rPr>
        <w:t xml:space="preserve">he American Academy of Pediatrics (AAP) </w:t>
      </w:r>
      <w:r>
        <w:rPr>
          <w:rFonts w:ascii="Times New Roman" w:hAnsi="Times New Roman" w:cs="Times New Roman"/>
          <w:sz w:val="24"/>
          <w:szCs w:val="24"/>
        </w:rPr>
        <w:t xml:space="preserve">providing </w:t>
      </w:r>
      <w:r w:rsidR="001E7F2F">
        <w:rPr>
          <w:rFonts w:ascii="Times New Roman" w:hAnsi="Times New Roman" w:cs="Times New Roman"/>
          <w:sz w:val="24"/>
          <w:szCs w:val="24"/>
        </w:rPr>
        <w:t xml:space="preserve">evidence-based </w:t>
      </w:r>
      <w:r>
        <w:rPr>
          <w:rFonts w:ascii="Times New Roman" w:hAnsi="Times New Roman" w:cs="Times New Roman"/>
          <w:sz w:val="24"/>
          <w:szCs w:val="24"/>
        </w:rPr>
        <w:t>findings on the advantages of male circumcision on male children, there are still crucial points that it is overlooking. The AAP’s technical report disregards the ethical and cultural implications</w:t>
      </w:r>
      <w:r w:rsidR="002C5A4D">
        <w:rPr>
          <w:rFonts w:ascii="Times New Roman" w:hAnsi="Times New Roman" w:cs="Times New Roman"/>
          <w:sz w:val="24"/>
          <w:szCs w:val="24"/>
        </w:rPr>
        <w:t xml:space="preserve"> of circumcision on the infants.</w:t>
      </w:r>
      <w:r w:rsidR="00582667">
        <w:rPr>
          <w:rFonts w:ascii="Times New Roman" w:hAnsi="Times New Roman" w:cs="Times New Roman"/>
          <w:sz w:val="24"/>
          <w:szCs w:val="24"/>
        </w:rPr>
        <w:t xml:space="preserve"> Circumcision on male infants is a sound medical practice in the US, but other countries do not share the same sentiments due to cultural disparities. </w:t>
      </w:r>
      <w:r>
        <w:rPr>
          <w:rFonts w:ascii="Times New Roman" w:hAnsi="Times New Roman" w:cs="Times New Roman"/>
          <w:sz w:val="24"/>
          <w:szCs w:val="24"/>
        </w:rPr>
        <w:t xml:space="preserve"> Besides, it obvious that it underestimating the parents’ autonomy to act in the best interest of their babies since its requirements are not likely to align with their religious and cultural beliefs.</w:t>
      </w:r>
      <w:r w:rsidR="0073736B">
        <w:rPr>
          <w:rFonts w:ascii="Times New Roman" w:hAnsi="Times New Roman" w:cs="Times New Roman"/>
          <w:sz w:val="24"/>
          <w:szCs w:val="24"/>
        </w:rPr>
        <w:t xml:space="preserve"> </w:t>
      </w:r>
      <w:r w:rsidR="00582667">
        <w:rPr>
          <w:rFonts w:ascii="Times New Roman" w:hAnsi="Times New Roman" w:cs="Times New Roman"/>
          <w:sz w:val="24"/>
          <w:szCs w:val="24"/>
        </w:rPr>
        <w:t>From a ethical standpoint</w:t>
      </w:r>
      <w:r w:rsidR="002C5A4D">
        <w:rPr>
          <w:rFonts w:ascii="Times New Roman" w:hAnsi="Times New Roman" w:cs="Times New Roman"/>
          <w:sz w:val="24"/>
          <w:szCs w:val="24"/>
        </w:rPr>
        <w:t>, the infant male circumcision does not prescribe to the doctrine of informed consent in medical practice</w:t>
      </w:r>
      <w:r w:rsidR="00DC3907">
        <w:rPr>
          <w:rFonts w:ascii="Times New Roman" w:hAnsi="Times New Roman" w:cs="Times New Roman"/>
          <w:sz w:val="24"/>
          <w:szCs w:val="24"/>
        </w:rPr>
        <w:t xml:space="preserve"> (Gateway, 2012)</w:t>
      </w:r>
      <w:r w:rsidR="002C5A4D">
        <w:rPr>
          <w:rFonts w:ascii="Times New Roman" w:hAnsi="Times New Roman" w:cs="Times New Roman"/>
          <w:sz w:val="24"/>
          <w:szCs w:val="24"/>
        </w:rPr>
        <w:t>. T</w:t>
      </w:r>
      <w:r w:rsidR="00DC3907">
        <w:rPr>
          <w:rFonts w:ascii="Times New Roman" w:hAnsi="Times New Roman" w:cs="Times New Roman"/>
          <w:sz w:val="24"/>
          <w:szCs w:val="24"/>
        </w:rPr>
        <w:t>herefore, the infants</w:t>
      </w:r>
      <w:r w:rsidR="002C5A4D">
        <w:rPr>
          <w:rFonts w:ascii="Times New Roman" w:hAnsi="Times New Roman" w:cs="Times New Roman"/>
          <w:sz w:val="24"/>
          <w:szCs w:val="24"/>
        </w:rPr>
        <w:t xml:space="preserve"> cannot make cognitive decisions</w:t>
      </w:r>
      <w:r w:rsidR="00DC3907">
        <w:rPr>
          <w:rFonts w:ascii="Times New Roman" w:hAnsi="Times New Roman" w:cs="Times New Roman"/>
          <w:sz w:val="24"/>
          <w:szCs w:val="24"/>
        </w:rPr>
        <w:t xml:space="preserve"> and it is a requirement that the physicians explain the treatment procedure and possible risks and where possible give best alternatives to the parents. Since the APA reports only enumerates on the benefits of the process, care givers aligning their practices with AAP’s findings are acting ethically to uphold the wellbeing of the infants. </w:t>
      </w:r>
      <w:r w:rsidR="002C5A4D">
        <w:rPr>
          <w:rFonts w:ascii="Times New Roman" w:hAnsi="Times New Roman" w:cs="Times New Roman"/>
          <w:sz w:val="24"/>
          <w:szCs w:val="24"/>
        </w:rPr>
        <w:t xml:space="preserve"> </w:t>
      </w:r>
    </w:p>
    <w:p w:rsidR="00607CAD" w:rsidRDefault="0073736B" w:rsidP="00641B6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the AAP does not take into account the possibility of violating the physical integrity of the male infants in the face of inconclusive reasons for circumcision. Physical autonomy is essential since it encompasses inalienable rights enshrined in the United Nations’ Declaration of the Rights of the Child. </w:t>
      </w:r>
      <w:r w:rsidR="00E547A7">
        <w:rPr>
          <w:rFonts w:ascii="Times New Roman" w:hAnsi="Times New Roman" w:cs="Times New Roman"/>
          <w:sz w:val="24"/>
          <w:szCs w:val="24"/>
        </w:rPr>
        <w:t xml:space="preserve">Besides it conflicts with the Hippocratic </w:t>
      </w:r>
      <w:r w:rsidR="00E9057E">
        <w:rPr>
          <w:rFonts w:ascii="Times New Roman" w:hAnsi="Times New Roman" w:cs="Times New Roman"/>
          <w:sz w:val="24"/>
          <w:szCs w:val="24"/>
        </w:rPr>
        <w:t>Oath</w:t>
      </w:r>
      <w:r w:rsidR="00E547A7">
        <w:rPr>
          <w:rFonts w:ascii="Times New Roman" w:hAnsi="Times New Roman" w:cs="Times New Roman"/>
          <w:sz w:val="24"/>
          <w:szCs w:val="24"/>
        </w:rPr>
        <w:t xml:space="preserve"> that </w:t>
      </w:r>
      <w:r w:rsidR="00E9057E">
        <w:rPr>
          <w:rFonts w:ascii="Times New Roman" w:hAnsi="Times New Roman" w:cs="Times New Roman"/>
          <w:sz w:val="24"/>
          <w:szCs w:val="24"/>
        </w:rPr>
        <w:t>stipulates</w:t>
      </w:r>
      <w:r w:rsidR="00E547A7">
        <w:rPr>
          <w:rFonts w:ascii="Times New Roman" w:hAnsi="Times New Roman" w:cs="Times New Roman"/>
          <w:sz w:val="24"/>
          <w:szCs w:val="24"/>
        </w:rPr>
        <w:t xml:space="preserve"> that </w:t>
      </w:r>
      <w:r w:rsidR="00F1227C">
        <w:rPr>
          <w:rFonts w:ascii="Times New Roman" w:hAnsi="Times New Roman" w:cs="Times New Roman"/>
          <w:sz w:val="24"/>
          <w:szCs w:val="24"/>
        </w:rPr>
        <w:t>medical practitioners should not harm their patients</w:t>
      </w:r>
      <w:r w:rsidR="00DC3907">
        <w:rPr>
          <w:rFonts w:ascii="Times New Roman" w:hAnsi="Times New Roman" w:cs="Times New Roman"/>
          <w:sz w:val="24"/>
          <w:szCs w:val="24"/>
        </w:rPr>
        <w:t xml:space="preserve"> (Gateway, 2013)</w:t>
      </w:r>
      <w:r w:rsidR="00F1227C">
        <w:rPr>
          <w:rFonts w:ascii="Times New Roman" w:hAnsi="Times New Roman" w:cs="Times New Roman"/>
          <w:sz w:val="24"/>
          <w:szCs w:val="24"/>
        </w:rPr>
        <w:t>.</w:t>
      </w:r>
      <w:r w:rsidR="00E547A7">
        <w:rPr>
          <w:rFonts w:ascii="Times New Roman" w:hAnsi="Times New Roman" w:cs="Times New Roman"/>
          <w:sz w:val="24"/>
          <w:szCs w:val="24"/>
        </w:rPr>
        <w:t xml:space="preserve"> </w:t>
      </w:r>
      <w:r w:rsidR="007F341F">
        <w:rPr>
          <w:rFonts w:ascii="Times New Roman" w:hAnsi="Times New Roman" w:cs="Times New Roman"/>
          <w:sz w:val="24"/>
          <w:szCs w:val="24"/>
        </w:rPr>
        <w:t xml:space="preserve">The APP has failed to provide compelling arguments and its detractors have been vocal about the drawbacks of nontherapeutic circumcision. </w:t>
      </w:r>
      <w:r w:rsidR="002A311B">
        <w:rPr>
          <w:rFonts w:ascii="Times New Roman" w:hAnsi="Times New Roman" w:cs="Times New Roman"/>
          <w:sz w:val="24"/>
          <w:szCs w:val="24"/>
        </w:rPr>
        <w:t>Most physicians in the USA and other parts of Europe such as the United Kingdom</w:t>
      </w:r>
      <w:r w:rsidR="00E9057E">
        <w:rPr>
          <w:rFonts w:ascii="Times New Roman" w:hAnsi="Times New Roman" w:cs="Times New Roman"/>
          <w:sz w:val="24"/>
          <w:szCs w:val="24"/>
        </w:rPr>
        <w:t>, Australia</w:t>
      </w:r>
      <w:r w:rsidR="002A311B">
        <w:rPr>
          <w:rFonts w:ascii="Times New Roman" w:hAnsi="Times New Roman" w:cs="Times New Roman"/>
          <w:sz w:val="24"/>
          <w:szCs w:val="24"/>
        </w:rPr>
        <w:t xml:space="preserve"> and Canada have expressed concerns on the postoperative pain it causes on the male infants</w:t>
      </w:r>
      <w:r w:rsidR="00DC3907">
        <w:rPr>
          <w:rFonts w:ascii="Times New Roman" w:hAnsi="Times New Roman" w:cs="Times New Roman"/>
          <w:sz w:val="24"/>
          <w:szCs w:val="24"/>
        </w:rPr>
        <w:t xml:space="preserve"> (Gateway, 2013)</w:t>
      </w:r>
      <w:r w:rsidR="002A311B">
        <w:rPr>
          <w:rFonts w:ascii="Times New Roman" w:hAnsi="Times New Roman" w:cs="Times New Roman"/>
          <w:sz w:val="24"/>
          <w:szCs w:val="24"/>
        </w:rPr>
        <w:t xml:space="preserve">. </w:t>
      </w:r>
      <w:r w:rsidR="00E9057E">
        <w:rPr>
          <w:rFonts w:ascii="Times New Roman" w:hAnsi="Times New Roman" w:cs="Times New Roman"/>
          <w:sz w:val="24"/>
          <w:szCs w:val="24"/>
        </w:rPr>
        <w:t>In this regard, it is crucial that that AAP acknowledge that the infant males should be left to grow into boys decide and make a decision on circumcision. The boys can opt for circumcision to protect them</w:t>
      </w:r>
      <w:r w:rsidR="009D2161">
        <w:rPr>
          <w:rFonts w:ascii="Times New Roman" w:hAnsi="Times New Roman" w:cs="Times New Roman"/>
          <w:sz w:val="24"/>
          <w:szCs w:val="24"/>
        </w:rPr>
        <w:t>selves</w:t>
      </w:r>
      <w:r w:rsidR="00E9057E">
        <w:rPr>
          <w:rFonts w:ascii="Times New Roman" w:hAnsi="Times New Roman" w:cs="Times New Roman"/>
          <w:sz w:val="24"/>
          <w:szCs w:val="24"/>
        </w:rPr>
        <w:t xml:space="preserve"> from heterosexual transmission </w:t>
      </w:r>
      <w:r w:rsidR="009D2161">
        <w:rPr>
          <w:rFonts w:ascii="Times New Roman" w:hAnsi="Times New Roman" w:cs="Times New Roman"/>
          <w:sz w:val="24"/>
          <w:szCs w:val="24"/>
        </w:rPr>
        <w:t xml:space="preserve">of HIV/ AIDS or remain genitally intact. Besides, the uncircumcised boys can practice safe-sex that has better far-reaching impacts on the protection against heterosexual transmission.  </w:t>
      </w:r>
      <w:r w:rsidR="00E9057E">
        <w:rPr>
          <w:rFonts w:ascii="Times New Roman" w:hAnsi="Times New Roman" w:cs="Times New Roman"/>
          <w:sz w:val="24"/>
          <w:szCs w:val="24"/>
        </w:rPr>
        <w:t xml:space="preserve"> </w:t>
      </w:r>
    </w:p>
    <w:p w:rsidR="009D2161" w:rsidRDefault="009D2161" w:rsidP="00641B6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it is no brainer that infant male circumcision has no significant effects on persons that are sexually inactive and are long away from their sexual debuts.  In this regard, the decision to remove a part of the body (foreskin) that has no significant function during sexual interactions should be left in the hands of the victims. </w:t>
      </w:r>
      <w:r w:rsidR="008A5582">
        <w:rPr>
          <w:rFonts w:ascii="Times New Roman" w:hAnsi="Times New Roman" w:cs="Times New Roman"/>
          <w:sz w:val="24"/>
          <w:szCs w:val="24"/>
        </w:rPr>
        <w:t>Physical autonomy concerns arise since the foreskin is required to protect the glans and ensure proper mechanical functioning of the penis due to its rich extensive innervated framework. Also, the AAP report did not put into account scientific evidence that shows that circumcision makes the penis insensitive and there are chances of having sexual complications in the future</w:t>
      </w:r>
      <w:r w:rsidR="00582667">
        <w:rPr>
          <w:rFonts w:ascii="Times New Roman" w:hAnsi="Times New Roman" w:cs="Times New Roman"/>
          <w:sz w:val="24"/>
          <w:szCs w:val="24"/>
        </w:rPr>
        <w:t xml:space="preserve"> (Frisch et al., 2013)</w:t>
      </w:r>
      <w:r w:rsidR="008A5582">
        <w:rPr>
          <w:rFonts w:ascii="Times New Roman" w:hAnsi="Times New Roman" w:cs="Times New Roman"/>
          <w:sz w:val="24"/>
          <w:szCs w:val="24"/>
        </w:rPr>
        <w:t xml:space="preserve">. </w:t>
      </w:r>
      <w:r w:rsidR="00037412">
        <w:rPr>
          <w:rFonts w:ascii="Times New Roman" w:hAnsi="Times New Roman" w:cs="Times New Roman"/>
          <w:sz w:val="24"/>
          <w:szCs w:val="24"/>
        </w:rPr>
        <w:t xml:space="preserve">In light of the controversies surrounding the issue, it is only prudent that the affected babies </w:t>
      </w:r>
      <w:r w:rsidR="00582667">
        <w:rPr>
          <w:rFonts w:ascii="Times New Roman" w:hAnsi="Times New Roman" w:cs="Times New Roman"/>
          <w:sz w:val="24"/>
          <w:szCs w:val="24"/>
        </w:rPr>
        <w:t xml:space="preserve">should have exclusive rights to make decisions concerning their physical integrity. </w:t>
      </w:r>
    </w:p>
    <w:p w:rsidR="005C7A90" w:rsidRDefault="005C7A90" w:rsidP="00641B64">
      <w:pPr>
        <w:spacing w:after="0" w:line="240" w:lineRule="auto"/>
        <w:ind w:firstLine="720"/>
        <w:jc w:val="both"/>
        <w:rPr>
          <w:rFonts w:ascii="Times New Roman" w:hAnsi="Times New Roman" w:cs="Times New Roman"/>
          <w:sz w:val="24"/>
          <w:szCs w:val="24"/>
        </w:rPr>
      </w:pPr>
    </w:p>
    <w:p w:rsidR="00372F40" w:rsidRDefault="00372F40" w:rsidP="00641B64">
      <w:pPr>
        <w:spacing w:after="0" w:line="240" w:lineRule="auto"/>
        <w:rPr>
          <w:rFonts w:ascii="Times New Roman" w:hAnsi="Times New Roman" w:cs="Times New Roman"/>
          <w:sz w:val="24"/>
          <w:szCs w:val="24"/>
        </w:rPr>
      </w:pPr>
    </w:p>
    <w:p w:rsidR="00372F40" w:rsidRDefault="00372F40" w:rsidP="00641B64">
      <w:pPr>
        <w:spacing w:after="0" w:line="240" w:lineRule="auto"/>
        <w:rPr>
          <w:rFonts w:ascii="Times New Roman" w:hAnsi="Times New Roman" w:cs="Times New Roman"/>
          <w:sz w:val="24"/>
          <w:szCs w:val="24"/>
        </w:rPr>
      </w:pPr>
    </w:p>
    <w:p w:rsidR="00372F40" w:rsidRDefault="00372F40" w:rsidP="00641B64">
      <w:pPr>
        <w:spacing w:after="0" w:line="240" w:lineRule="auto"/>
        <w:rPr>
          <w:rFonts w:ascii="Times New Roman" w:hAnsi="Times New Roman" w:cs="Times New Roman"/>
          <w:sz w:val="24"/>
          <w:szCs w:val="24"/>
        </w:rPr>
      </w:pPr>
    </w:p>
    <w:p w:rsidR="00641B64" w:rsidRDefault="00641B64">
      <w:pPr>
        <w:rPr>
          <w:rFonts w:ascii="Times New Roman" w:hAnsi="Times New Roman" w:cs="Times New Roman"/>
          <w:sz w:val="24"/>
          <w:szCs w:val="24"/>
        </w:rPr>
      </w:pPr>
      <w:r>
        <w:rPr>
          <w:rFonts w:ascii="Times New Roman" w:hAnsi="Times New Roman" w:cs="Times New Roman"/>
          <w:sz w:val="24"/>
          <w:szCs w:val="24"/>
        </w:rPr>
        <w:br w:type="page"/>
      </w:r>
    </w:p>
    <w:p w:rsidR="00372F40" w:rsidRDefault="00372F40" w:rsidP="00641B64">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F32B5" w:rsidRDefault="000F32B5" w:rsidP="00641B6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Frisch, M., Barauskas, V., Bjarnason, R., &amp; Czaudema, P. (2013). Cultural bias in the AAP’S 2012 technical report and policy statement on male circumcision. Research Gate. 131(4),</w:t>
      </w:r>
      <w:r w:rsidR="00641B64">
        <w:rPr>
          <w:rFonts w:ascii="Times New Roman" w:hAnsi="Times New Roman" w:cs="Times New Roman"/>
          <w:sz w:val="24"/>
          <w:szCs w:val="24"/>
        </w:rPr>
        <w:t xml:space="preserve"> </w:t>
      </w:r>
      <w:r>
        <w:rPr>
          <w:rFonts w:ascii="Times New Roman" w:hAnsi="Times New Roman" w:cs="Times New Roman"/>
          <w:sz w:val="24"/>
          <w:szCs w:val="24"/>
        </w:rPr>
        <w:t>1-9.</w:t>
      </w:r>
      <w:r w:rsidR="00641B64">
        <w:rPr>
          <w:rFonts w:ascii="Times New Roman" w:hAnsi="Times New Roman" w:cs="Times New Roman"/>
          <w:sz w:val="24"/>
          <w:szCs w:val="24"/>
        </w:rPr>
        <w:t xml:space="preserve"> </w:t>
      </w:r>
      <w:r>
        <w:rPr>
          <w:rFonts w:ascii="Times New Roman" w:hAnsi="Times New Roman" w:cs="Times New Roman"/>
          <w:sz w:val="24"/>
          <w:szCs w:val="24"/>
        </w:rPr>
        <w:t xml:space="preserve">doi: </w:t>
      </w:r>
      <w:r w:rsidRPr="000F32B5">
        <w:rPr>
          <w:rFonts w:ascii="Times New Roman" w:hAnsi="Times New Roman" w:cs="Times New Roman"/>
          <w:sz w:val="24"/>
          <w:szCs w:val="24"/>
        </w:rPr>
        <w:t>10.1542/peds.2012-2896</w:t>
      </w:r>
    </w:p>
    <w:p w:rsidR="00474821" w:rsidRPr="00641B64" w:rsidRDefault="00474821" w:rsidP="00641B64">
      <w:pPr>
        <w:spacing w:after="0" w:line="24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Gateway. (2012). Male circumcision: Task force on circumcision. </w:t>
      </w:r>
      <w:r w:rsidRPr="00474821">
        <w:rPr>
          <w:rFonts w:ascii="Times New Roman" w:hAnsi="Times New Roman" w:cs="Times New Roman"/>
          <w:i/>
          <w:sz w:val="24"/>
          <w:szCs w:val="24"/>
        </w:rPr>
        <w:t>AAP News and Journals from</w:t>
      </w:r>
      <w:r w:rsidR="00641B64">
        <w:rPr>
          <w:rFonts w:ascii="Times New Roman" w:hAnsi="Times New Roman" w:cs="Times New Roman"/>
          <w:i/>
          <w:sz w:val="24"/>
          <w:szCs w:val="24"/>
        </w:rPr>
        <w:t xml:space="preserve"> </w:t>
      </w:r>
      <w:r w:rsidRPr="00474821">
        <w:rPr>
          <w:rFonts w:ascii="Times New Roman" w:hAnsi="Times New Roman" w:cs="Times New Roman"/>
          <w:i/>
          <w:sz w:val="24"/>
          <w:szCs w:val="24"/>
        </w:rPr>
        <w:t>the American Academy of Pediatrics’ Technical R</w:t>
      </w:r>
      <w:r>
        <w:rPr>
          <w:rFonts w:ascii="Times New Roman" w:hAnsi="Times New Roman" w:cs="Times New Roman"/>
          <w:i/>
          <w:sz w:val="24"/>
          <w:szCs w:val="24"/>
        </w:rPr>
        <w:t xml:space="preserve">eport, </w:t>
      </w:r>
      <w:r>
        <w:rPr>
          <w:rFonts w:ascii="Times New Roman" w:hAnsi="Times New Roman" w:cs="Times New Roman"/>
          <w:sz w:val="24"/>
          <w:szCs w:val="24"/>
        </w:rPr>
        <w:t xml:space="preserve">130(3). </w:t>
      </w:r>
    </w:p>
    <w:p w:rsidR="000F32B5" w:rsidRPr="000F32B5" w:rsidRDefault="000F32B5" w:rsidP="00641B64">
      <w:pPr>
        <w:spacing w:after="0"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Gateway. (2013). Cultural bias in the AAP’s 2012 Technical report and policy statement on male Circumcision. </w:t>
      </w:r>
      <w:r w:rsidRPr="000F32B5">
        <w:rPr>
          <w:rFonts w:ascii="Times New Roman" w:hAnsi="Times New Roman" w:cs="Times New Roman"/>
          <w:i/>
          <w:sz w:val="24"/>
          <w:szCs w:val="24"/>
        </w:rPr>
        <w:t xml:space="preserve">AAP News and Journal. </w:t>
      </w:r>
      <w:r>
        <w:rPr>
          <w:rFonts w:ascii="Times New Roman" w:hAnsi="Times New Roman" w:cs="Times New Roman"/>
          <w:sz w:val="24"/>
          <w:szCs w:val="24"/>
        </w:rPr>
        <w:t>131(4).</w:t>
      </w:r>
    </w:p>
    <w:p w:rsidR="00372F40" w:rsidRPr="000F32B5" w:rsidRDefault="00372F40" w:rsidP="00641B64">
      <w:pPr>
        <w:spacing w:after="0" w:line="240" w:lineRule="auto"/>
        <w:ind w:left="720" w:hanging="720"/>
        <w:rPr>
          <w:rFonts w:ascii="Times New Roman" w:hAnsi="Times New Roman" w:cs="Times New Roman"/>
          <w:i/>
          <w:sz w:val="24"/>
          <w:szCs w:val="24"/>
        </w:rPr>
      </w:pPr>
    </w:p>
    <w:sectPr w:rsidR="00372F40" w:rsidRPr="000F32B5" w:rsidSect="005C7A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6ADA" w:rsidRDefault="00876ADA" w:rsidP="005C7A90">
      <w:pPr>
        <w:spacing w:after="0" w:line="240" w:lineRule="auto"/>
      </w:pPr>
      <w:r>
        <w:separator/>
      </w:r>
    </w:p>
  </w:endnote>
  <w:endnote w:type="continuationSeparator" w:id="0">
    <w:p w:rsidR="00876ADA" w:rsidRDefault="00876ADA" w:rsidP="005C7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6ADA" w:rsidRDefault="00876ADA" w:rsidP="005C7A90">
      <w:pPr>
        <w:spacing w:after="0" w:line="240" w:lineRule="auto"/>
      </w:pPr>
      <w:r>
        <w:separator/>
      </w:r>
    </w:p>
  </w:footnote>
  <w:footnote w:type="continuationSeparator" w:id="0">
    <w:p w:rsidR="00876ADA" w:rsidRDefault="00876ADA" w:rsidP="005C7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A90" w:rsidRPr="005C7A90" w:rsidRDefault="005C7A90" w:rsidP="005C7A90">
    <w:pPr>
      <w:pStyle w:val="Header"/>
      <w:spacing w:line="480" w:lineRule="auto"/>
      <w:rPr>
        <w:rFonts w:ascii="Times New Roman" w:hAnsi="Times New Roman" w:cs="Times New Roman"/>
        <w:sz w:val="24"/>
        <w:szCs w:val="24"/>
      </w:rPr>
    </w:pPr>
    <w:r w:rsidRPr="005C7A90">
      <w:rPr>
        <w:rFonts w:ascii="Times New Roman" w:hAnsi="Times New Roman" w:cs="Times New Roman"/>
        <w:sz w:val="24"/>
        <w:szCs w:val="24"/>
      </w:rPr>
      <w:t>MALE CIRCUMCISION</w:t>
    </w:r>
    <w:r>
      <w:rPr>
        <w:rFonts w:ascii="Times New Roman" w:hAnsi="Times New Roman" w:cs="Times New Roman"/>
        <w:sz w:val="24"/>
        <w:szCs w:val="24"/>
      </w:rPr>
      <w:tab/>
    </w:r>
    <w:r>
      <w:rPr>
        <w:rFonts w:ascii="Times New Roman" w:hAnsi="Times New Roman" w:cs="Times New Roman"/>
        <w:sz w:val="24"/>
        <w:szCs w:val="24"/>
      </w:rPr>
      <w:tab/>
    </w:r>
    <w:r w:rsidRPr="005C7A90">
      <w:rPr>
        <w:rFonts w:ascii="Times New Roman" w:hAnsi="Times New Roman" w:cs="Times New Roman"/>
        <w:sz w:val="24"/>
        <w:szCs w:val="24"/>
      </w:rPr>
      <w:t xml:space="preserve"> </w:t>
    </w:r>
    <w:sdt>
      <w:sdtPr>
        <w:rPr>
          <w:rFonts w:ascii="Times New Roman" w:hAnsi="Times New Roman" w:cs="Times New Roman"/>
          <w:sz w:val="24"/>
          <w:szCs w:val="24"/>
        </w:rPr>
        <w:id w:val="-1685894366"/>
        <w:docPartObj>
          <w:docPartGallery w:val="Page Numbers (Top of Page)"/>
          <w:docPartUnique/>
        </w:docPartObj>
      </w:sdtPr>
      <w:sdtEndPr>
        <w:rPr>
          <w:noProof/>
        </w:rPr>
      </w:sdtEndPr>
      <w:sdtContent>
        <w:r w:rsidRPr="005C7A90">
          <w:rPr>
            <w:rFonts w:ascii="Times New Roman" w:hAnsi="Times New Roman" w:cs="Times New Roman"/>
            <w:sz w:val="24"/>
            <w:szCs w:val="24"/>
          </w:rPr>
          <w:fldChar w:fldCharType="begin"/>
        </w:r>
        <w:r w:rsidRPr="005C7A90">
          <w:rPr>
            <w:rFonts w:ascii="Times New Roman" w:hAnsi="Times New Roman" w:cs="Times New Roman"/>
            <w:sz w:val="24"/>
            <w:szCs w:val="24"/>
          </w:rPr>
          <w:instrText xml:space="preserve"> PAGE   \* MERGEFORMAT </w:instrText>
        </w:r>
        <w:r w:rsidRPr="005C7A90">
          <w:rPr>
            <w:rFonts w:ascii="Times New Roman" w:hAnsi="Times New Roman" w:cs="Times New Roman"/>
            <w:sz w:val="24"/>
            <w:szCs w:val="24"/>
          </w:rPr>
          <w:fldChar w:fldCharType="separate"/>
        </w:r>
        <w:r w:rsidR="00641B64">
          <w:rPr>
            <w:rFonts w:ascii="Times New Roman" w:hAnsi="Times New Roman" w:cs="Times New Roman"/>
            <w:noProof/>
            <w:sz w:val="24"/>
            <w:szCs w:val="24"/>
          </w:rPr>
          <w:t>3</w:t>
        </w:r>
        <w:r w:rsidRPr="005C7A90">
          <w:rPr>
            <w:rFonts w:ascii="Times New Roman" w:hAnsi="Times New Roman" w:cs="Times New Roman"/>
            <w:noProof/>
            <w:sz w:val="24"/>
            <w:szCs w:val="24"/>
          </w:rPr>
          <w:fldChar w:fldCharType="end"/>
        </w:r>
      </w:sdtContent>
    </w:sdt>
  </w:p>
  <w:p w:rsidR="005C7A90" w:rsidRDefault="005C7A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7A90" w:rsidRPr="005C7A90" w:rsidRDefault="005C7A90" w:rsidP="005C7A90">
    <w:pPr>
      <w:pStyle w:val="Header"/>
      <w:spacing w:line="480" w:lineRule="auto"/>
      <w:rPr>
        <w:rFonts w:ascii="Times New Roman" w:hAnsi="Times New Roman" w:cs="Times New Roman"/>
        <w:sz w:val="24"/>
        <w:szCs w:val="24"/>
      </w:rPr>
    </w:pPr>
    <w:r w:rsidRPr="005C7A90">
      <w:rPr>
        <w:rFonts w:ascii="Times New Roman" w:hAnsi="Times New Roman" w:cs="Times New Roman"/>
        <w:sz w:val="24"/>
        <w:szCs w:val="24"/>
      </w:rPr>
      <w:t>Running head: MALE CIRCUMCSION</w:t>
    </w:r>
    <w:r>
      <w:rPr>
        <w:rFonts w:ascii="Times New Roman" w:hAnsi="Times New Roman" w:cs="Times New Roman"/>
        <w:sz w:val="24"/>
        <w:szCs w:val="24"/>
      </w:rPr>
      <w:tab/>
    </w:r>
    <w:r>
      <w:rPr>
        <w:rFonts w:ascii="Times New Roman" w:hAnsi="Times New Roman" w:cs="Times New Roman"/>
        <w:sz w:val="24"/>
        <w:szCs w:val="24"/>
      </w:rPr>
      <w:tab/>
    </w:r>
    <w:r w:rsidRPr="005C7A90">
      <w:rPr>
        <w:rFonts w:ascii="Times New Roman" w:hAnsi="Times New Roman" w:cs="Times New Roman"/>
        <w:sz w:val="24"/>
        <w:szCs w:val="24"/>
      </w:rPr>
      <w:t xml:space="preserve"> </w:t>
    </w:r>
    <w:sdt>
      <w:sdtPr>
        <w:rPr>
          <w:rFonts w:ascii="Times New Roman" w:hAnsi="Times New Roman" w:cs="Times New Roman"/>
          <w:sz w:val="24"/>
          <w:szCs w:val="24"/>
        </w:rPr>
        <w:id w:val="-983083438"/>
        <w:docPartObj>
          <w:docPartGallery w:val="Page Numbers (Top of Page)"/>
          <w:docPartUnique/>
        </w:docPartObj>
      </w:sdtPr>
      <w:sdtEndPr>
        <w:rPr>
          <w:noProof/>
        </w:rPr>
      </w:sdtEndPr>
      <w:sdtContent>
        <w:r w:rsidRPr="005C7A90">
          <w:rPr>
            <w:rFonts w:ascii="Times New Roman" w:hAnsi="Times New Roman" w:cs="Times New Roman"/>
            <w:sz w:val="24"/>
            <w:szCs w:val="24"/>
          </w:rPr>
          <w:fldChar w:fldCharType="begin"/>
        </w:r>
        <w:r w:rsidRPr="005C7A90">
          <w:rPr>
            <w:rFonts w:ascii="Times New Roman" w:hAnsi="Times New Roman" w:cs="Times New Roman"/>
            <w:sz w:val="24"/>
            <w:szCs w:val="24"/>
          </w:rPr>
          <w:instrText xml:space="preserve"> PAGE   \* MERGEFORMAT </w:instrText>
        </w:r>
        <w:r w:rsidRPr="005C7A90">
          <w:rPr>
            <w:rFonts w:ascii="Times New Roman" w:hAnsi="Times New Roman" w:cs="Times New Roman"/>
            <w:sz w:val="24"/>
            <w:szCs w:val="24"/>
          </w:rPr>
          <w:fldChar w:fldCharType="separate"/>
        </w:r>
        <w:r w:rsidR="00641B64">
          <w:rPr>
            <w:rFonts w:ascii="Times New Roman" w:hAnsi="Times New Roman" w:cs="Times New Roman"/>
            <w:noProof/>
            <w:sz w:val="24"/>
            <w:szCs w:val="24"/>
          </w:rPr>
          <w:t>1</w:t>
        </w:r>
        <w:r w:rsidRPr="005C7A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A90"/>
    <w:rsid w:val="00037412"/>
    <w:rsid w:val="000F32B5"/>
    <w:rsid w:val="001D2666"/>
    <w:rsid w:val="001E7F2F"/>
    <w:rsid w:val="002A311B"/>
    <w:rsid w:val="002C5A4D"/>
    <w:rsid w:val="00372F40"/>
    <w:rsid w:val="00474821"/>
    <w:rsid w:val="00582667"/>
    <w:rsid w:val="005C7A90"/>
    <w:rsid w:val="00607CAD"/>
    <w:rsid w:val="00641B64"/>
    <w:rsid w:val="0073736B"/>
    <w:rsid w:val="00742E24"/>
    <w:rsid w:val="007F341F"/>
    <w:rsid w:val="00835629"/>
    <w:rsid w:val="00876ADA"/>
    <w:rsid w:val="008A5582"/>
    <w:rsid w:val="009D2161"/>
    <w:rsid w:val="00A137DE"/>
    <w:rsid w:val="00BD4F4E"/>
    <w:rsid w:val="00DC3907"/>
    <w:rsid w:val="00E547A7"/>
    <w:rsid w:val="00E9057E"/>
    <w:rsid w:val="00F12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9C41"/>
  <w15:docId w15:val="{7CCD0C5D-49FF-42DB-8867-861BC65D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A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A90"/>
  </w:style>
  <w:style w:type="paragraph" w:styleId="Footer">
    <w:name w:val="footer"/>
    <w:basedOn w:val="Normal"/>
    <w:link w:val="FooterChar"/>
    <w:uiPriority w:val="99"/>
    <w:unhideWhenUsed/>
    <w:rsid w:val="005C7A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2019-03-04T04:23:00Z</dcterms:created>
  <dcterms:modified xsi:type="dcterms:W3CDTF">2019-03-04T04:23:00Z</dcterms:modified>
</cp:coreProperties>
</file>